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BC99" w14:textId="77777777" w:rsidR="001A681D" w:rsidRDefault="001A681D" w:rsidP="00547D1C">
      <w:pPr>
        <w:spacing w:after="240"/>
        <w:ind w:left="720" w:hanging="360"/>
        <w:jc w:val="both"/>
      </w:pPr>
    </w:p>
    <w:p w14:paraId="5224ED0D" w14:textId="7C038053" w:rsidR="00667689" w:rsidRPr="00667689" w:rsidRDefault="00667689" w:rsidP="00667689">
      <w:pPr>
        <w:spacing w:after="240"/>
        <w:ind w:left="720" w:hanging="360"/>
        <w:jc w:val="center"/>
      </w:pPr>
      <w:r w:rsidRPr="00667689">
        <w:rPr>
          <w:b/>
          <w:bCs/>
        </w:rPr>
        <w:t>PERGUNTAS E RESPOSTAS</w:t>
      </w:r>
    </w:p>
    <w:p w14:paraId="6DA6DBE5" w14:textId="49CCD898" w:rsidR="00667689" w:rsidRPr="00667689" w:rsidRDefault="00667689" w:rsidP="00667689">
      <w:pPr>
        <w:spacing w:after="240"/>
        <w:ind w:left="720" w:hanging="360"/>
        <w:jc w:val="center"/>
      </w:pPr>
      <w:r w:rsidRPr="00667689">
        <w:rPr>
          <w:b/>
          <w:bCs/>
        </w:rPr>
        <w:t>TERMO DE REFERÊNCIA GEF AP-00</w:t>
      </w:r>
      <w:r>
        <w:rPr>
          <w:b/>
          <w:bCs/>
        </w:rPr>
        <w:t>2</w:t>
      </w:r>
      <w:r w:rsidRPr="00667689">
        <w:rPr>
          <w:b/>
          <w:bCs/>
        </w:rPr>
        <w:t>/2025</w:t>
      </w:r>
    </w:p>
    <w:p w14:paraId="3919A2A2" w14:textId="22239BD5" w:rsidR="001A681D" w:rsidRPr="00667689" w:rsidRDefault="00667689" w:rsidP="00667689">
      <w:pPr>
        <w:spacing w:after="0"/>
        <w:ind w:left="720" w:hanging="360"/>
        <w:jc w:val="center"/>
        <w:rPr>
          <w:b/>
          <w:bCs/>
        </w:rPr>
      </w:pPr>
      <w:r w:rsidRPr="00667689">
        <w:rPr>
          <w:b/>
          <w:bCs/>
        </w:rPr>
        <w:t xml:space="preserve">CONTRATAÇÃO </w:t>
      </w:r>
      <w:r>
        <w:rPr>
          <w:b/>
          <w:bCs/>
        </w:rPr>
        <w:t>CONSULTORIA</w:t>
      </w:r>
      <w:r w:rsidRPr="00667689">
        <w:rPr>
          <w:b/>
          <w:bCs/>
        </w:rPr>
        <w:t xml:space="preserve"> EM EDUCOMUNICAÇÃO PARA</w:t>
      </w:r>
      <w:r>
        <w:rPr>
          <w:b/>
          <w:bCs/>
        </w:rPr>
        <w:t xml:space="preserve"> </w:t>
      </w:r>
      <w:r w:rsidRPr="00667689">
        <w:rPr>
          <w:b/>
          <w:bCs/>
        </w:rPr>
        <w:t>DESENVOLVER UM</w:t>
      </w:r>
      <w:r>
        <w:rPr>
          <w:b/>
          <w:bCs/>
        </w:rPr>
        <w:t xml:space="preserve"> </w:t>
      </w:r>
      <w:r w:rsidRPr="00667689">
        <w:rPr>
          <w:b/>
          <w:bCs/>
        </w:rPr>
        <w:t>PROJETO POLÍTICO-PEDAGÓGICO DE EDUCOMUNICAÇÃO E UM</w:t>
      </w:r>
      <w:r>
        <w:rPr>
          <w:b/>
          <w:bCs/>
        </w:rPr>
        <w:t xml:space="preserve"> </w:t>
      </w:r>
      <w:r w:rsidRPr="00667689">
        <w:rPr>
          <w:b/>
          <w:bCs/>
        </w:rPr>
        <w:t>GUIA PARA A PRODUÇÃO INDEPENDENTE DE AUDIOVISUAL DO PROJETO GEF</w:t>
      </w:r>
      <w:r>
        <w:rPr>
          <w:b/>
          <w:bCs/>
        </w:rPr>
        <w:t xml:space="preserve"> </w:t>
      </w:r>
      <w:r w:rsidRPr="00667689">
        <w:rPr>
          <w:b/>
          <w:bCs/>
        </w:rPr>
        <w:t>ÁREAS PRIVADAS</w:t>
      </w:r>
    </w:p>
    <w:p w14:paraId="3E0F644F" w14:textId="50B0A429" w:rsidR="00547D1C" w:rsidRDefault="00547D1C" w:rsidP="00547D1C">
      <w:pPr>
        <w:pStyle w:val="NormalWeb"/>
        <w:numPr>
          <w:ilvl w:val="0"/>
          <w:numId w:val="1"/>
        </w:numPr>
        <w:spacing w:after="240" w:afterAutospacing="0"/>
        <w:jc w:val="both"/>
        <w:rPr>
          <w:rFonts w:ascii="Calibri" w:hAnsi="Calibri" w:cs="Calibri"/>
        </w:rPr>
      </w:pPr>
      <w:r w:rsidRPr="00547D1C">
        <w:rPr>
          <w:rFonts w:ascii="Calibri" w:hAnsi="Calibri" w:cs="Calibri"/>
        </w:rPr>
        <w:t>A previsão é de realização de um total de quatro oficinas — sendo duas de Educomunicação/Audiovisual e duas de Elaboração de Projetos Político-Pedagógicos (PPPs) — com ambas as modalidades ofertadas em cada território, ou será realizada apenas uma modalidade por território?</w:t>
      </w:r>
    </w:p>
    <w:p w14:paraId="3699464D" w14:textId="139868D9" w:rsidR="00493D02" w:rsidRPr="00493D02" w:rsidRDefault="00493D02" w:rsidP="0054638C">
      <w:pPr>
        <w:pStyle w:val="NormalWeb"/>
        <w:spacing w:after="240" w:afterAutospacing="0"/>
        <w:ind w:left="720"/>
        <w:jc w:val="both"/>
        <w:rPr>
          <w:rFonts w:ascii="Calibri" w:hAnsi="Calibri" w:cs="Calibri"/>
          <w:color w:val="FF0000"/>
        </w:rPr>
      </w:pPr>
      <w:r>
        <w:rPr>
          <w:rFonts w:ascii="Calibri" w:hAnsi="Calibri" w:cs="Calibri"/>
          <w:color w:val="FF0000"/>
        </w:rPr>
        <w:t>Resposta:</w:t>
      </w:r>
      <w:r w:rsidR="0054638C">
        <w:rPr>
          <w:rFonts w:ascii="Calibri" w:hAnsi="Calibri" w:cs="Calibri"/>
          <w:color w:val="FF0000"/>
        </w:rPr>
        <w:t xml:space="preserve"> Conforme consta na descrição do </w:t>
      </w:r>
      <w:r w:rsidR="0054638C" w:rsidRPr="00493D02">
        <w:rPr>
          <w:rFonts w:ascii="Calibri" w:hAnsi="Calibri" w:cs="Calibri"/>
          <w:color w:val="FF0000"/>
        </w:rPr>
        <w:t>Produto 2, Atividade 2.1</w:t>
      </w:r>
      <w:r w:rsidR="0054638C">
        <w:rPr>
          <w:rFonts w:ascii="Calibri" w:hAnsi="Calibri" w:cs="Calibri"/>
          <w:color w:val="FF0000"/>
        </w:rPr>
        <w:t>, s</w:t>
      </w:r>
      <w:r w:rsidRPr="00493D02">
        <w:rPr>
          <w:rFonts w:ascii="Calibri" w:hAnsi="Calibri" w:cs="Calibri"/>
          <w:color w:val="FF0000"/>
        </w:rPr>
        <w:t>erão realizadas quatro oficinas no total, sendo duas por território (APA Pouso Alto e APA Bacia do Rio São João), cada uma com uma modalidade diferente: uma de Educomunicação/Audiovisual e uma de Elaboração de PPPs por território.</w:t>
      </w:r>
    </w:p>
    <w:p w14:paraId="60E40D09" w14:textId="6E12191F" w:rsidR="00547D1C" w:rsidRDefault="00547D1C" w:rsidP="001A681D">
      <w:pPr>
        <w:pStyle w:val="NormalWeb"/>
        <w:numPr>
          <w:ilvl w:val="0"/>
          <w:numId w:val="1"/>
        </w:numPr>
        <w:spacing w:after="240" w:afterAutospacing="0"/>
        <w:jc w:val="both"/>
        <w:rPr>
          <w:rFonts w:ascii="Calibri" w:hAnsi="Calibri" w:cs="Calibri"/>
        </w:rPr>
      </w:pPr>
      <w:r w:rsidRPr="00547D1C">
        <w:rPr>
          <w:rFonts w:ascii="Calibri" w:hAnsi="Calibri" w:cs="Calibri"/>
        </w:rPr>
        <w:t>Os custos com mobilização, deslocamento, hospedagem e alimentação de participantes de diferentes municípios para oficinas centralizadas seriam superiores aos custos de realização de um número maior de oficinas, distribuídas entre os municípios abrangidos pelas APAs, com participação local mais ampla?</w:t>
      </w:r>
    </w:p>
    <w:p w14:paraId="6BC1869D" w14:textId="77777777" w:rsidR="00E61C42" w:rsidRPr="00E61C42" w:rsidRDefault="00493D02" w:rsidP="00E61C42">
      <w:pPr>
        <w:pStyle w:val="NormalWeb"/>
        <w:spacing w:after="240"/>
        <w:ind w:left="720"/>
        <w:jc w:val="both"/>
        <w:rPr>
          <w:rFonts w:ascii="Calibri" w:hAnsi="Calibri" w:cs="Calibri"/>
          <w:color w:val="FF0000"/>
        </w:rPr>
      </w:pPr>
      <w:r>
        <w:rPr>
          <w:rFonts w:ascii="Calibri" w:hAnsi="Calibri" w:cs="Calibri"/>
          <w:color w:val="FF0000"/>
        </w:rPr>
        <w:t xml:space="preserve">Resposta: </w:t>
      </w:r>
      <w:r w:rsidR="00E61C42" w:rsidRPr="00E61C42">
        <w:rPr>
          <w:rFonts w:ascii="Calibri" w:hAnsi="Calibri" w:cs="Calibri"/>
          <w:color w:val="FF0000"/>
        </w:rPr>
        <w:t xml:space="preserve">É de responsabilidade do proponente elaborar a estratégia de mobilização e custeá-la. Já os custos com deslocamento, alimentação e hospedagem dos participantes será por conta do projeto. </w:t>
      </w:r>
    </w:p>
    <w:p w14:paraId="0D168545" w14:textId="77777777" w:rsidR="00E61C42" w:rsidRDefault="00E61C42" w:rsidP="00E61C42">
      <w:pPr>
        <w:pStyle w:val="NormalWeb"/>
        <w:spacing w:after="240"/>
        <w:ind w:left="720"/>
        <w:jc w:val="both"/>
        <w:rPr>
          <w:rFonts w:ascii="Calibri" w:hAnsi="Calibri" w:cs="Calibri"/>
          <w:color w:val="FF0000"/>
        </w:rPr>
      </w:pPr>
      <w:r w:rsidRPr="00E61C42">
        <w:rPr>
          <w:rFonts w:ascii="Calibri" w:hAnsi="Calibri" w:cs="Calibri"/>
          <w:color w:val="FF0000"/>
        </w:rPr>
        <w:t>Sobre um número maior de oficinas, o TDR não traz essa especificação e não foi feito esse levantamento de custos. A proposta pode ser construída considerando um dos dois cenários, conforme estratégia adotada pela empresa selecionada.</w:t>
      </w:r>
      <w:r w:rsidRPr="00E61C42">
        <w:rPr>
          <w:rFonts w:ascii="Calibri" w:hAnsi="Calibri" w:cs="Calibri"/>
          <w:color w:val="FF0000"/>
        </w:rPr>
        <w:t xml:space="preserve"> </w:t>
      </w:r>
    </w:p>
    <w:p w14:paraId="2B5FB995" w14:textId="77777777" w:rsidR="00E61C42" w:rsidRDefault="00547D1C" w:rsidP="00E61C42">
      <w:pPr>
        <w:pStyle w:val="NormalWeb"/>
        <w:numPr>
          <w:ilvl w:val="0"/>
          <w:numId w:val="1"/>
        </w:numPr>
        <w:spacing w:after="240"/>
        <w:jc w:val="both"/>
        <w:rPr>
          <w:rFonts w:ascii="Calibri" w:hAnsi="Calibri" w:cs="Calibri"/>
        </w:rPr>
      </w:pPr>
      <w:r w:rsidRPr="00547D1C">
        <w:rPr>
          <w:rFonts w:ascii="Calibri" w:hAnsi="Calibri" w:cs="Calibri"/>
        </w:rPr>
        <w:t>A mobilização de participantes ocorrerá em todos os municípios abrangidos pelas APAs, conforme indicado no Termo de Referência, ou será concentrada em um único município, com posterior multiplicação nos demais por meio de guias, tutoriais ou outros materiais?</w:t>
      </w:r>
    </w:p>
    <w:p w14:paraId="342AF2FC" w14:textId="77777777" w:rsidR="00CD31D5" w:rsidRDefault="00E61C42" w:rsidP="00CD31D5">
      <w:pPr>
        <w:pStyle w:val="NormalWeb"/>
        <w:spacing w:after="240"/>
        <w:ind w:left="720"/>
        <w:jc w:val="both"/>
        <w:rPr>
          <w:rFonts w:ascii="Calibri" w:hAnsi="Calibri" w:cs="Calibri"/>
          <w:color w:val="FF0000"/>
        </w:rPr>
      </w:pPr>
      <w:r w:rsidRPr="00E61C42">
        <w:rPr>
          <w:rFonts w:ascii="Calibri" w:hAnsi="Calibri" w:cs="Calibri"/>
          <w:color w:val="FF0000"/>
        </w:rPr>
        <w:t xml:space="preserve">Resposta: A mobilização deverá abranger todos os municípios que estão dentro das APAs, conforme previsto na atividade de mapeamento do público-alvo e nas estratégias de mobilização. </w:t>
      </w:r>
    </w:p>
    <w:p w14:paraId="31A8DADC" w14:textId="090F89ED" w:rsidR="00547D1C" w:rsidRDefault="00547D1C" w:rsidP="00CD31D5">
      <w:pPr>
        <w:pStyle w:val="NormalWeb"/>
        <w:numPr>
          <w:ilvl w:val="0"/>
          <w:numId w:val="1"/>
        </w:numPr>
        <w:spacing w:after="240"/>
        <w:jc w:val="both"/>
        <w:rPr>
          <w:rFonts w:ascii="Calibri" w:hAnsi="Calibri" w:cs="Calibri"/>
        </w:rPr>
      </w:pPr>
      <w:r w:rsidRPr="00547D1C">
        <w:rPr>
          <w:rFonts w:ascii="Calibri" w:hAnsi="Calibri" w:cs="Calibri"/>
        </w:rPr>
        <w:t>Qual é a expectativa de número de participantes por oficina?</w:t>
      </w:r>
    </w:p>
    <w:p w14:paraId="5A7576FE" w14:textId="77777777" w:rsidR="00E61C42" w:rsidRPr="00E61C42" w:rsidRDefault="00E61C42" w:rsidP="00E61C42">
      <w:pPr>
        <w:pStyle w:val="NormalWeb"/>
        <w:spacing w:after="240" w:afterAutospacing="0"/>
        <w:ind w:left="720"/>
        <w:jc w:val="both"/>
        <w:rPr>
          <w:rFonts w:ascii="Calibri" w:hAnsi="Calibri" w:cs="Calibri"/>
        </w:rPr>
      </w:pPr>
      <w:r w:rsidRPr="00E61C42">
        <w:rPr>
          <w:rFonts w:ascii="Calibri" w:hAnsi="Calibri" w:cs="Calibri"/>
          <w:color w:val="FF0000"/>
        </w:rPr>
        <w:lastRenderedPageBreak/>
        <w:t xml:space="preserve">Resposta: O número de participantes deve ser definido com base no mapeamento realizado, não sendo possível estimar com precisão antes desse mapeamento. </w:t>
      </w:r>
    </w:p>
    <w:p w14:paraId="6158E018" w14:textId="46DAFF00" w:rsidR="00547D1C" w:rsidRDefault="00547D1C" w:rsidP="00547D1C">
      <w:pPr>
        <w:pStyle w:val="NormalWeb"/>
        <w:numPr>
          <w:ilvl w:val="0"/>
          <w:numId w:val="1"/>
        </w:numPr>
        <w:spacing w:after="240" w:afterAutospacing="0"/>
        <w:jc w:val="both"/>
        <w:rPr>
          <w:rFonts w:ascii="Calibri" w:hAnsi="Calibri" w:cs="Calibri"/>
        </w:rPr>
      </w:pPr>
      <w:r w:rsidRPr="00547D1C">
        <w:rPr>
          <w:rFonts w:ascii="Calibri" w:hAnsi="Calibri" w:cs="Calibri"/>
        </w:rPr>
        <w:t>O levantamento de equipamentos (software e hardware) previsto no Produto 4 deverá contemplar todos os municípios abrangidos pelas APAs, inclusive aqueles que não possuem Salas Verdes?</w:t>
      </w:r>
    </w:p>
    <w:p w14:paraId="15459237" w14:textId="77777777" w:rsidR="00E61C42" w:rsidRDefault="00493D02" w:rsidP="00E61C42">
      <w:pPr>
        <w:pStyle w:val="NormalWeb"/>
        <w:spacing w:after="240" w:afterAutospacing="0"/>
        <w:ind w:left="720"/>
        <w:jc w:val="both"/>
        <w:rPr>
          <w:rFonts w:ascii="Calibri" w:hAnsi="Calibri" w:cs="Calibri"/>
          <w:color w:val="FF0000"/>
        </w:rPr>
      </w:pPr>
      <w:r>
        <w:rPr>
          <w:rFonts w:ascii="Calibri" w:hAnsi="Calibri" w:cs="Calibri"/>
          <w:color w:val="FF0000"/>
        </w:rPr>
        <w:t xml:space="preserve">Resposta: </w:t>
      </w:r>
      <w:r w:rsidR="00E61C42" w:rsidRPr="00E61C42">
        <w:rPr>
          <w:rFonts w:ascii="Calibri" w:hAnsi="Calibri" w:cs="Calibri"/>
          <w:color w:val="FF0000"/>
        </w:rPr>
        <w:t>Os equipamentos visam garantir a continuidade das ações/oficinas de educomunicação (audiovisual) nos territórios atendidos pelo projeto. Considerar atender, no mínimo, 1 município em cada bioma com equipamentos necessários. De acordo com a estratégia montada.</w:t>
      </w:r>
      <w:r w:rsidR="00E61C42" w:rsidRPr="00E61C42">
        <w:rPr>
          <w:rFonts w:ascii="Calibri" w:hAnsi="Calibri" w:cs="Calibri"/>
          <w:color w:val="FF0000"/>
        </w:rPr>
        <w:t xml:space="preserve"> </w:t>
      </w:r>
    </w:p>
    <w:p w14:paraId="718FEE5D" w14:textId="25DC7372" w:rsidR="00547D1C" w:rsidRDefault="00547D1C" w:rsidP="00E61C42">
      <w:pPr>
        <w:pStyle w:val="NormalWeb"/>
        <w:numPr>
          <w:ilvl w:val="0"/>
          <w:numId w:val="1"/>
        </w:numPr>
        <w:spacing w:after="240" w:afterAutospacing="0"/>
        <w:jc w:val="both"/>
        <w:rPr>
          <w:rFonts w:ascii="Calibri" w:hAnsi="Calibri" w:cs="Calibri"/>
        </w:rPr>
      </w:pPr>
      <w:r w:rsidRPr="00547D1C">
        <w:rPr>
          <w:rFonts w:ascii="Calibri" w:hAnsi="Calibri" w:cs="Calibri"/>
        </w:rPr>
        <w:t>A mobilização deverá abranger participantes dos 11 municípios abrangidos pelas APAs, com visitas e abordagens presenciais em todos esses municípios?</w:t>
      </w:r>
    </w:p>
    <w:p w14:paraId="72C07CD0" w14:textId="77777777" w:rsidR="00E61C42" w:rsidRDefault="00493D02" w:rsidP="00E61C42">
      <w:pPr>
        <w:pStyle w:val="NormalWeb"/>
        <w:spacing w:after="240" w:afterAutospacing="0"/>
        <w:ind w:left="720"/>
        <w:jc w:val="both"/>
        <w:rPr>
          <w:rFonts w:ascii="Calibri" w:hAnsi="Calibri" w:cs="Calibri"/>
          <w:color w:val="FF0000"/>
        </w:rPr>
      </w:pPr>
      <w:r>
        <w:rPr>
          <w:rFonts w:ascii="Calibri" w:hAnsi="Calibri" w:cs="Calibri"/>
          <w:color w:val="FF0000"/>
        </w:rPr>
        <w:t xml:space="preserve">Resposta: </w:t>
      </w:r>
      <w:r w:rsidR="00E61C42" w:rsidRPr="00E61C42">
        <w:rPr>
          <w:rFonts w:ascii="Calibri" w:hAnsi="Calibri" w:cs="Calibri"/>
          <w:color w:val="FF0000"/>
        </w:rPr>
        <w:t xml:space="preserve">Sim, trata-se de uma mobilização intermunicipal, na qual a sensibilização e articulação ocorrem em todos os municípios abrangidos pelas APAs, conforme o mapeamento de público-alvo e articulação local. </w:t>
      </w:r>
    </w:p>
    <w:p w14:paraId="4EDF13C0" w14:textId="71A764EC" w:rsidR="00E61C42" w:rsidRDefault="00E61C42" w:rsidP="001A681D">
      <w:pPr>
        <w:pStyle w:val="NormalWeb"/>
        <w:spacing w:after="240" w:afterAutospacing="0"/>
        <w:ind w:left="708"/>
        <w:jc w:val="both"/>
        <w:rPr>
          <w:rFonts w:ascii="Calibri" w:hAnsi="Calibri" w:cs="Calibri"/>
        </w:rPr>
      </w:pPr>
      <w:r w:rsidRPr="00E61C42">
        <w:rPr>
          <w:rFonts w:ascii="Calibri" w:hAnsi="Calibri" w:cs="Calibri"/>
        </w:rPr>
        <w:t>5.</w:t>
      </w:r>
      <w:r>
        <w:rPr>
          <w:rFonts w:ascii="Calibri" w:hAnsi="Calibri" w:cs="Calibri"/>
        </w:rPr>
        <w:t xml:space="preserve"> </w:t>
      </w:r>
      <w:r w:rsidRPr="00E61C42">
        <w:rPr>
          <w:rFonts w:ascii="Calibri" w:hAnsi="Calibri" w:cs="Calibri"/>
        </w:rPr>
        <w:t>As oficinas serão realizadas em no mínimo dois ou no máximo quatro municípios? Haverá definição prévia de quais municípios sediarão as atividades?</w:t>
      </w:r>
      <w:r w:rsidRPr="00E61C42">
        <w:rPr>
          <w:rFonts w:ascii="Calibri" w:hAnsi="Calibri" w:cs="Calibri"/>
        </w:rPr>
        <w:t xml:space="preserve"> </w:t>
      </w:r>
    </w:p>
    <w:p w14:paraId="5FE2DF7F" w14:textId="53915DD8" w:rsidR="001A681D" w:rsidRPr="001A681D" w:rsidRDefault="001A681D" w:rsidP="001A681D">
      <w:pPr>
        <w:pStyle w:val="NormalWeb"/>
        <w:spacing w:after="240" w:afterAutospacing="0"/>
        <w:ind w:left="708"/>
        <w:jc w:val="both"/>
        <w:rPr>
          <w:rFonts w:ascii="Calibri" w:hAnsi="Calibri" w:cs="Calibri"/>
          <w:color w:val="FF0000"/>
        </w:rPr>
      </w:pPr>
      <w:r>
        <w:rPr>
          <w:rFonts w:ascii="Calibri" w:hAnsi="Calibri" w:cs="Calibri"/>
          <w:color w:val="FF0000"/>
        </w:rPr>
        <w:t xml:space="preserve">Resposta: </w:t>
      </w:r>
      <w:r w:rsidR="00E61C42" w:rsidRPr="00E61C42">
        <w:rPr>
          <w:rFonts w:ascii="Calibri" w:hAnsi="Calibri" w:cs="Calibri"/>
          <w:color w:val="FF0000"/>
        </w:rPr>
        <w:t>Sim.  Não há definição prévia de onde serão realizadas as oficinas, devendo ser proposta pela contratada dentro da relação dos municípios que compõe as duas A</w:t>
      </w:r>
      <w:r w:rsidR="00E61C42">
        <w:rPr>
          <w:rFonts w:ascii="Calibri" w:hAnsi="Calibri" w:cs="Calibri"/>
          <w:color w:val="FF0000"/>
        </w:rPr>
        <w:t>PA</w:t>
      </w:r>
      <w:r w:rsidR="00E61C42" w:rsidRPr="00E61C42">
        <w:rPr>
          <w:rFonts w:ascii="Calibri" w:hAnsi="Calibri" w:cs="Calibri"/>
          <w:color w:val="FF0000"/>
        </w:rPr>
        <w:t xml:space="preserve">s.   </w:t>
      </w:r>
    </w:p>
    <w:p w14:paraId="69B23CCB" w14:textId="77C44CA4" w:rsidR="00547D1C" w:rsidRDefault="00547D1C" w:rsidP="00547D1C">
      <w:pPr>
        <w:pStyle w:val="NormalWeb"/>
        <w:numPr>
          <w:ilvl w:val="0"/>
          <w:numId w:val="1"/>
        </w:numPr>
        <w:spacing w:after="240" w:afterAutospacing="0"/>
        <w:jc w:val="both"/>
        <w:rPr>
          <w:rFonts w:ascii="Calibri" w:hAnsi="Calibri" w:cs="Calibri"/>
        </w:rPr>
      </w:pPr>
      <w:r w:rsidRPr="00547D1C">
        <w:rPr>
          <w:rFonts w:ascii="Calibri" w:hAnsi="Calibri" w:cs="Calibri"/>
        </w:rPr>
        <w:t>Caso as oficinas sejam realizadas em apenas um ou dois municípios por território, será necessário mobilizar participantes de todos os demais municípios abrangidos pelas APAs para que se desloquem e participem presencialmente?</w:t>
      </w:r>
    </w:p>
    <w:p w14:paraId="776E71CF" w14:textId="001D41E1" w:rsidR="00493D02" w:rsidRPr="00493D02" w:rsidRDefault="00493D02" w:rsidP="00493D02">
      <w:pPr>
        <w:pStyle w:val="NormalWeb"/>
        <w:spacing w:after="240" w:afterAutospacing="0"/>
        <w:ind w:left="720"/>
        <w:jc w:val="both"/>
        <w:rPr>
          <w:rFonts w:ascii="Calibri" w:hAnsi="Calibri" w:cs="Calibri"/>
          <w:color w:val="FF0000"/>
        </w:rPr>
      </w:pPr>
      <w:r>
        <w:rPr>
          <w:rFonts w:ascii="Calibri" w:hAnsi="Calibri" w:cs="Calibri"/>
          <w:color w:val="FF0000"/>
        </w:rPr>
        <w:t xml:space="preserve">Resposta: </w:t>
      </w:r>
      <w:r w:rsidR="00E61C42" w:rsidRPr="00E61C42">
        <w:rPr>
          <w:rFonts w:ascii="Calibri" w:hAnsi="Calibri" w:cs="Calibri"/>
          <w:color w:val="FF0000"/>
        </w:rPr>
        <w:t>Sim, o TDR prevê a viabilização da participação do público-alvo. Sendo transporte, hospedagem (se necessário) e alimentação custeadas pelo projeto e não pela contratada.</w:t>
      </w:r>
    </w:p>
    <w:p w14:paraId="36E1FFE4" w14:textId="2732E431" w:rsidR="00547D1C" w:rsidRDefault="00547D1C" w:rsidP="00547D1C">
      <w:pPr>
        <w:pStyle w:val="NormalWeb"/>
        <w:numPr>
          <w:ilvl w:val="0"/>
          <w:numId w:val="1"/>
        </w:numPr>
        <w:spacing w:after="240" w:afterAutospacing="0"/>
        <w:jc w:val="both"/>
        <w:rPr>
          <w:rFonts w:ascii="Calibri" w:hAnsi="Calibri" w:cs="Calibri"/>
        </w:rPr>
      </w:pPr>
      <w:r w:rsidRPr="00547D1C">
        <w:rPr>
          <w:rFonts w:ascii="Calibri" w:hAnsi="Calibri" w:cs="Calibri"/>
        </w:rPr>
        <w:t>A mobilização e multiplicação do conteúdo nos municípios que não receberem oficinas presenciais ocorrerá exclusivamente por meios virtuais, digitais, guias ou tutoriais?</w:t>
      </w:r>
    </w:p>
    <w:p w14:paraId="733378E3" w14:textId="5C07BCD3" w:rsidR="00493D02" w:rsidRDefault="00493D02" w:rsidP="00493D02">
      <w:pPr>
        <w:pStyle w:val="NormalWeb"/>
        <w:spacing w:after="240" w:afterAutospacing="0"/>
        <w:ind w:left="720"/>
        <w:jc w:val="both"/>
        <w:rPr>
          <w:rFonts w:ascii="Calibri" w:hAnsi="Calibri" w:cs="Calibri"/>
          <w:color w:val="FF0000"/>
        </w:rPr>
      </w:pPr>
      <w:r>
        <w:rPr>
          <w:rFonts w:ascii="Calibri" w:hAnsi="Calibri" w:cs="Calibri"/>
          <w:color w:val="FF0000"/>
        </w:rPr>
        <w:t xml:space="preserve">Resposta: </w:t>
      </w:r>
      <w:r w:rsidR="00E61C42" w:rsidRPr="00E61C42">
        <w:rPr>
          <w:rFonts w:ascii="Calibri" w:hAnsi="Calibri" w:cs="Calibri"/>
          <w:color w:val="FF0000"/>
        </w:rPr>
        <w:t>Não exclusivamente. As oficinas serão realizadas em municípios específicos, mas a participação deve estar aberta a pessoas de outros municípios abrangidos pelas APAs, conforme previsto na mobilização. Os conteúdos digitais gerados no âmbito das oficinas deverão ser amplamente divulgados de forma virtual, garantindo o acesso a diversos públicos interessados.</w:t>
      </w:r>
    </w:p>
    <w:sectPr w:rsidR="00493D0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EDAD2" w14:textId="77777777" w:rsidR="00DB3F70" w:rsidRDefault="00DB3F70" w:rsidP="001A681D">
      <w:pPr>
        <w:spacing w:after="0" w:line="240" w:lineRule="auto"/>
      </w:pPr>
      <w:r>
        <w:separator/>
      </w:r>
    </w:p>
  </w:endnote>
  <w:endnote w:type="continuationSeparator" w:id="0">
    <w:p w14:paraId="72BE927D" w14:textId="77777777" w:rsidR="00DB3F70" w:rsidRDefault="00DB3F70" w:rsidP="001A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3170" w14:textId="77777777" w:rsidR="00DB3F70" w:rsidRDefault="00DB3F70" w:rsidP="001A681D">
      <w:pPr>
        <w:spacing w:after="0" w:line="240" w:lineRule="auto"/>
      </w:pPr>
      <w:r>
        <w:separator/>
      </w:r>
    </w:p>
  </w:footnote>
  <w:footnote w:type="continuationSeparator" w:id="0">
    <w:p w14:paraId="55D3BAFC" w14:textId="77777777" w:rsidR="00DB3F70" w:rsidRDefault="00DB3F70" w:rsidP="001A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C172" w14:textId="45014427" w:rsidR="001A681D" w:rsidRDefault="001A681D" w:rsidP="001A681D">
    <w:pPr>
      <w:pStyle w:val="Cabealho"/>
      <w:jc w:val="center"/>
    </w:pPr>
    <w:r>
      <w:rPr>
        <w:noProof/>
      </w:rPr>
      <w:drawing>
        <wp:inline distT="0" distB="0" distL="0" distR="0" wp14:anchorId="5CA076F0" wp14:editId="12FFCF2D">
          <wp:extent cx="1892595" cy="883760"/>
          <wp:effectExtent l="0" t="0" r="0" b="0"/>
          <wp:docPr id="738984436" name="Imagem 2" descr="Uma imagem contendo nome da empres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84436" name="Imagem 2" descr="Uma imagem contendo nome da empresa&#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97" cy="889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01BE4"/>
    <w:multiLevelType w:val="hybridMultilevel"/>
    <w:tmpl w:val="E9620D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302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1C"/>
    <w:rsid w:val="00015F70"/>
    <w:rsid w:val="0004391A"/>
    <w:rsid w:val="00170C5D"/>
    <w:rsid w:val="001A681D"/>
    <w:rsid w:val="001F3162"/>
    <w:rsid w:val="00376409"/>
    <w:rsid w:val="00451C42"/>
    <w:rsid w:val="00473B49"/>
    <w:rsid w:val="00493D02"/>
    <w:rsid w:val="004E4902"/>
    <w:rsid w:val="0054638C"/>
    <w:rsid w:val="00547D1C"/>
    <w:rsid w:val="005C105D"/>
    <w:rsid w:val="00667689"/>
    <w:rsid w:val="00673531"/>
    <w:rsid w:val="00720AF5"/>
    <w:rsid w:val="007C416B"/>
    <w:rsid w:val="007C68BE"/>
    <w:rsid w:val="007E3417"/>
    <w:rsid w:val="008770AB"/>
    <w:rsid w:val="008D3783"/>
    <w:rsid w:val="00A80072"/>
    <w:rsid w:val="00CA1868"/>
    <w:rsid w:val="00CD31D5"/>
    <w:rsid w:val="00DB3F70"/>
    <w:rsid w:val="00E61C42"/>
    <w:rsid w:val="00F35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A060"/>
  <w15:chartTrackingRefBased/>
  <w15:docId w15:val="{9D54031A-35FF-4855-9EB1-E02A2656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47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47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47D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47D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47D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47D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47D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47D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47D1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47D1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47D1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47D1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47D1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47D1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47D1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47D1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47D1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47D1C"/>
    <w:rPr>
      <w:rFonts w:eastAsiaTheme="majorEastAsia" w:cstheme="majorBidi"/>
      <w:color w:val="272727" w:themeColor="text1" w:themeTint="D8"/>
    </w:rPr>
  </w:style>
  <w:style w:type="paragraph" w:styleId="Ttulo">
    <w:name w:val="Title"/>
    <w:basedOn w:val="Normal"/>
    <w:next w:val="Normal"/>
    <w:link w:val="TtuloChar"/>
    <w:uiPriority w:val="10"/>
    <w:qFormat/>
    <w:rsid w:val="00547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47D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47D1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47D1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47D1C"/>
    <w:pPr>
      <w:spacing w:before="160"/>
      <w:jc w:val="center"/>
    </w:pPr>
    <w:rPr>
      <w:i/>
      <w:iCs/>
      <w:color w:val="404040" w:themeColor="text1" w:themeTint="BF"/>
    </w:rPr>
  </w:style>
  <w:style w:type="character" w:customStyle="1" w:styleId="CitaoChar">
    <w:name w:val="Citação Char"/>
    <w:basedOn w:val="Fontepargpadro"/>
    <w:link w:val="Citao"/>
    <w:uiPriority w:val="29"/>
    <w:rsid w:val="00547D1C"/>
    <w:rPr>
      <w:i/>
      <w:iCs/>
      <w:color w:val="404040" w:themeColor="text1" w:themeTint="BF"/>
    </w:rPr>
  </w:style>
  <w:style w:type="paragraph" w:styleId="PargrafodaLista">
    <w:name w:val="List Paragraph"/>
    <w:basedOn w:val="Normal"/>
    <w:uiPriority w:val="34"/>
    <w:qFormat/>
    <w:rsid w:val="00547D1C"/>
    <w:pPr>
      <w:ind w:left="720"/>
      <w:contextualSpacing/>
    </w:pPr>
  </w:style>
  <w:style w:type="character" w:styleId="nfaseIntensa">
    <w:name w:val="Intense Emphasis"/>
    <w:basedOn w:val="Fontepargpadro"/>
    <w:uiPriority w:val="21"/>
    <w:qFormat/>
    <w:rsid w:val="00547D1C"/>
    <w:rPr>
      <w:i/>
      <w:iCs/>
      <w:color w:val="0F4761" w:themeColor="accent1" w:themeShade="BF"/>
    </w:rPr>
  </w:style>
  <w:style w:type="paragraph" w:styleId="CitaoIntensa">
    <w:name w:val="Intense Quote"/>
    <w:basedOn w:val="Normal"/>
    <w:next w:val="Normal"/>
    <w:link w:val="CitaoIntensaChar"/>
    <w:uiPriority w:val="30"/>
    <w:qFormat/>
    <w:rsid w:val="00547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47D1C"/>
    <w:rPr>
      <w:i/>
      <w:iCs/>
      <w:color w:val="0F4761" w:themeColor="accent1" w:themeShade="BF"/>
    </w:rPr>
  </w:style>
  <w:style w:type="character" w:styleId="RefernciaIntensa">
    <w:name w:val="Intense Reference"/>
    <w:basedOn w:val="Fontepargpadro"/>
    <w:uiPriority w:val="32"/>
    <w:qFormat/>
    <w:rsid w:val="00547D1C"/>
    <w:rPr>
      <w:b/>
      <w:bCs/>
      <w:smallCaps/>
      <w:color w:val="0F4761" w:themeColor="accent1" w:themeShade="BF"/>
      <w:spacing w:val="5"/>
    </w:rPr>
  </w:style>
  <w:style w:type="paragraph" w:styleId="NormalWeb">
    <w:name w:val="Normal (Web)"/>
    <w:basedOn w:val="Normal"/>
    <w:uiPriority w:val="99"/>
    <w:semiHidden/>
    <w:unhideWhenUsed/>
    <w:rsid w:val="00547D1C"/>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Refdecomentrio">
    <w:name w:val="annotation reference"/>
    <w:basedOn w:val="Fontepargpadro"/>
    <w:uiPriority w:val="99"/>
    <w:semiHidden/>
    <w:unhideWhenUsed/>
    <w:rsid w:val="00493D02"/>
    <w:rPr>
      <w:sz w:val="16"/>
      <w:szCs w:val="16"/>
    </w:rPr>
  </w:style>
  <w:style w:type="paragraph" w:styleId="Textodecomentrio">
    <w:name w:val="annotation text"/>
    <w:basedOn w:val="Normal"/>
    <w:link w:val="TextodecomentrioChar"/>
    <w:uiPriority w:val="99"/>
    <w:unhideWhenUsed/>
    <w:rsid w:val="00493D02"/>
    <w:pPr>
      <w:spacing w:line="240" w:lineRule="auto"/>
    </w:pPr>
    <w:rPr>
      <w:sz w:val="20"/>
      <w:szCs w:val="20"/>
    </w:rPr>
  </w:style>
  <w:style w:type="character" w:customStyle="1" w:styleId="TextodecomentrioChar">
    <w:name w:val="Texto de comentário Char"/>
    <w:basedOn w:val="Fontepargpadro"/>
    <w:link w:val="Textodecomentrio"/>
    <w:uiPriority w:val="99"/>
    <w:rsid w:val="00493D02"/>
    <w:rPr>
      <w:sz w:val="20"/>
      <w:szCs w:val="20"/>
    </w:rPr>
  </w:style>
  <w:style w:type="paragraph" w:styleId="Assuntodocomentrio">
    <w:name w:val="annotation subject"/>
    <w:basedOn w:val="Textodecomentrio"/>
    <w:next w:val="Textodecomentrio"/>
    <w:link w:val="AssuntodocomentrioChar"/>
    <w:uiPriority w:val="99"/>
    <w:semiHidden/>
    <w:unhideWhenUsed/>
    <w:rsid w:val="00493D02"/>
    <w:rPr>
      <w:b/>
      <w:bCs/>
    </w:rPr>
  </w:style>
  <w:style w:type="character" w:customStyle="1" w:styleId="AssuntodocomentrioChar">
    <w:name w:val="Assunto do comentário Char"/>
    <w:basedOn w:val="TextodecomentrioChar"/>
    <w:link w:val="Assuntodocomentrio"/>
    <w:uiPriority w:val="99"/>
    <w:semiHidden/>
    <w:rsid w:val="00493D02"/>
    <w:rPr>
      <w:b/>
      <w:bCs/>
      <w:sz w:val="20"/>
      <w:szCs w:val="20"/>
    </w:rPr>
  </w:style>
  <w:style w:type="paragraph" w:styleId="Cabealho">
    <w:name w:val="header"/>
    <w:basedOn w:val="Normal"/>
    <w:link w:val="CabealhoChar"/>
    <w:uiPriority w:val="99"/>
    <w:unhideWhenUsed/>
    <w:rsid w:val="001A68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81D"/>
  </w:style>
  <w:style w:type="paragraph" w:styleId="Rodap">
    <w:name w:val="footer"/>
    <w:basedOn w:val="Normal"/>
    <w:link w:val="RodapChar"/>
    <w:uiPriority w:val="99"/>
    <w:unhideWhenUsed/>
    <w:rsid w:val="001A681D"/>
    <w:pPr>
      <w:tabs>
        <w:tab w:val="center" w:pos="4252"/>
        <w:tab w:val="right" w:pos="8504"/>
      </w:tabs>
      <w:spacing w:after="0" w:line="240" w:lineRule="auto"/>
    </w:pPr>
  </w:style>
  <w:style w:type="character" w:customStyle="1" w:styleId="RodapChar">
    <w:name w:val="Rodapé Char"/>
    <w:basedOn w:val="Fontepargpadro"/>
    <w:link w:val="Rodap"/>
    <w:uiPriority w:val="99"/>
    <w:rsid w:val="001A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57901">
      <w:bodyDiv w:val="1"/>
      <w:marLeft w:val="0"/>
      <w:marRight w:val="0"/>
      <w:marTop w:val="0"/>
      <w:marBottom w:val="0"/>
      <w:divBdr>
        <w:top w:val="none" w:sz="0" w:space="0" w:color="auto"/>
        <w:left w:val="none" w:sz="0" w:space="0" w:color="auto"/>
        <w:bottom w:val="none" w:sz="0" w:space="0" w:color="auto"/>
        <w:right w:val="none" w:sz="0" w:space="0" w:color="auto"/>
      </w:divBdr>
    </w:div>
    <w:div w:id="441923031">
      <w:bodyDiv w:val="1"/>
      <w:marLeft w:val="0"/>
      <w:marRight w:val="0"/>
      <w:marTop w:val="0"/>
      <w:marBottom w:val="0"/>
      <w:divBdr>
        <w:top w:val="none" w:sz="0" w:space="0" w:color="auto"/>
        <w:left w:val="none" w:sz="0" w:space="0" w:color="auto"/>
        <w:bottom w:val="none" w:sz="0" w:space="0" w:color="auto"/>
        <w:right w:val="none" w:sz="0" w:space="0" w:color="auto"/>
      </w:divBdr>
    </w:div>
    <w:div w:id="1168250020">
      <w:bodyDiv w:val="1"/>
      <w:marLeft w:val="0"/>
      <w:marRight w:val="0"/>
      <w:marTop w:val="0"/>
      <w:marBottom w:val="0"/>
      <w:divBdr>
        <w:top w:val="none" w:sz="0" w:space="0" w:color="auto"/>
        <w:left w:val="none" w:sz="0" w:space="0" w:color="auto"/>
        <w:bottom w:val="none" w:sz="0" w:space="0" w:color="auto"/>
        <w:right w:val="none" w:sz="0" w:space="0" w:color="auto"/>
      </w:divBdr>
      <w:divsChild>
        <w:div w:id="318389300">
          <w:marLeft w:val="0"/>
          <w:marRight w:val="0"/>
          <w:marTop w:val="0"/>
          <w:marBottom w:val="0"/>
          <w:divBdr>
            <w:top w:val="none" w:sz="0" w:space="0" w:color="auto"/>
            <w:left w:val="none" w:sz="0" w:space="0" w:color="auto"/>
            <w:bottom w:val="none" w:sz="0" w:space="0" w:color="auto"/>
            <w:right w:val="none" w:sz="0" w:space="0" w:color="auto"/>
          </w:divBdr>
        </w:div>
        <w:div w:id="1057781970">
          <w:marLeft w:val="0"/>
          <w:marRight w:val="0"/>
          <w:marTop w:val="0"/>
          <w:marBottom w:val="0"/>
          <w:divBdr>
            <w:top w:val="none" w:sz="0" w:space="0" w:color="auto"/>
            <w:left w:val="none" w:sz="0" w:space="0" w:color="auto"/>
            <w:bottom w:val="none" w:sz="0" w:space="0" w:color="auto"/>
            <w:right w:val="none" w:sz="0" w:space="0" w:color="auto"/>
          </w:divBdr>
        </w:div>
      </w:divsChild>
    </w:div>
    <w:div w:id="1853571339">
      <w:bodyDiv w:val="1"/>
      <w:marLeft w:val="0"/>
      <w:marRight w:val="0"/>
      <w:marTop w:val="0"/>
      <w:marBottom w:val="0"/>
      <w:divBdr>
        <w:top w:val="none" w:sz="0" w:space="0" w:color="auto"/>
        <w:left w:val="none" w:sz="0" w:space="0" w:color="auto"/>
        <w:bottom w:val="none" w:sz="0" w:space="0" w:color="auto"/>
        <w:right w:val="none" w:sz="0" w:space="0" w:color="auto"/>
      </w:divBdr>
    </w:div>
    <w:div w:id="2039697738">
      <w:bodyDiv w:val="1"/>
      <w:marLeft w:val="0"/>
      <w:marRight w:val="0"/>
      <w:marTop w:val="0"/>
      <w:marBottom w:val="0"/>
      <w:divBdr>
        <w:top w:val="none" w:sz="0" w:space="0" w:color="auto"/>
        <w:left w:val="none" w:sz="0" w:space="0" w:color="auto"/>
        <w:bottom w:val="none" w:sz="0" w:space="0" w:color="auto"/>
        <w:right w:val="none" w:sz="0" w:space="0" w:color="auto"/>
      </w:divBdr>
      <w:divsChild>
        <w:div w:id="945845194">
          <w:marLeft w:val="0"/>
          <w:marRight w:val="0"/>
          <w:marTop w:val="0"/>
          <w:marBottom w:val="0"/>
          <w:divBdr>
            <w:top w:val="none" w:sz="0" w:space="0" w:color="auto"/>
            <w:left w:val="none" w:sz="0" w:space="0" w:color="auto"/>
            <w:bottom w:val="none" w:sz="0" w:space="0" w:color="auto"/>
            <w:right w:val="none" w:sz="0" w:space="0" w:color="auto"/>
          </w:divBdr>
        </w:div>
        <w:div w:id="103809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485459-da09-4b6d-bbcb-74eee1ac0499"/>
    <lcf76f155ced4ddcb4097134ff3c332f xmlns="6b02a203-7f4d-43d2-96c9-f0353212d5c2">
      <Terms xmlns="http://schemas.microsoft.com/office/infopath/2007/PartnerControls"/>
    </lcf76f155ced4ddcb4097134ff3c332f>
    <Dataehora xmlns="6b02a203-7f4d-43d2-96c9-f0353212d5c2">2025-05-29T11:46:44+00:00</Dataehor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47D23F0F223E641B6AB7823C284299D" ma:contentTypeVersion="17" ma:contentTypeDescription="Crie um novo documento." ma:contentTypeScope="" ma:versionID="a362c7b1e3e3328530f0829e34577364">
  <xsd:schema xmlns:xsd="http://www.w3.org/2001/XMLSchema" xmlns:xs="http://www.w3.org/2001/XMLSchema" xmlns:p="http://schemas.microsoft.com/office/2006/metadata/properties" xmlns:ns2="ea485459-da09-4b6d-bbcb-74eee1ac0499" xmlns:ns3="6b02a203-7f4d-43d2-96c9-f0353212d5c2" targetNamespace="http://schemas.microsoft.com/office/2006/metadata/properties" ma:root="true" ma:fieldsID="03369ea24dbdc7e590a26b2b73c514af" ns2:_="" ns3:_="">
    <xsd:import namespace="ea485459-da09-4b6d-bbcb-74eee1ac0499"/>
    <xsd:import namespace="6b02a203-7f4d-43d2-96c9-f0353212d5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Dataehor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85459-da09-4b6d-bbcb-74eee1ac049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7b3cd5bb-e96b-4659-a417-a2db8a59278d}" ma:internalName="TaxCatchAll" ma:showField="CatchAllData" ma:web="ea485459-da09-4b6d-bbcb-74eee1ac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2a203-7f4d-43d2-96c9-f0353212d5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a5538e26-39c6-4870-aba4-d6c3433bf1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aehora" ma:index="23" nillable="true" ma:displayName="Data e hora" ma:default="[today]" ma:format="DateTime" ma:internalName="Dataehora">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2EDEA-ABB4-449D-8120-5B5F01F363A0}">
  <ds:schemaRefs>
    <ds:schemaRef ds:uri="http://schemas.microsoft.com/office/2006/metadata/properties"/>
    <ds:schemaRef ds:uri="http://schemas.microsoft.com/office/infopath/2007/PartnerControls"/>
    <ds:schemaRef ds:uri="ea485459-da09-4b6d-bbcb-74eee1ac0499"/>
    <ds:schemaRef ds:uri="6b02a203-7f4d-43d2-96c9-f0353212d5c2"/>
  </ds:schemaRefs>
</ds:datastoreItem>
</file>

<file path=customXml/itemProps2.xml><?xml version="1.0" encoding="utf-8"?>
<ds:datastoreItem xmlns:ds="http://schemas.openxmlformats.org/officeDocument/2006/customXml" ds:itemID="{6138A204-2C69-4749-A023-BAF25886BA76}">
  <ds:schemaRefs>
    <ds:schemaRef ds:uri="http://schemas.microsoft.com/sharepoint/v3/contenttype/forms"/>
  </ds:schemaRefs>
</ds:datastoreItem>
</file>

<file path=customXml/itemProps3.xml><?xml version="1.0" encoding="utf-8"?>
<ds:datastoreItem xmlns:ds="http://schemas.openxmlformats.org/officeDocument/2006/customXml" ds:itemID="{C05EE36B-E4A5-420F-A1F7-E0C7948B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85459-da09-4b6d-bbcb-74eee1ac0499"/>
    <ds:schemaRef ds:uri="6b02a203-7f4d-43d2-96c9-f0353212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Gogola</dc:creator>
  <cp:keywords/>
  <dc:description/>
  <cp:lastModifiedBy>Mariana Gogola</cp:lastModifiedBy>
  <cp:revision>2</cp:revision>
  <dcterms:created xsi:type="dcterms:W3CDTF">2025-05-29T14:07:00Z</dcterms:created>
  <dcterms:modified xsi:type="dcterms:W3CDTF">2025-05-29T14:07:00Z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0x010100D47D23F0F223E641B6AB7823C284299D</vt:lpwstr>
  </property>
  <property fmtid="{D5CDD505-2E9C-101B-9397-08002B2CF9AE}" pid="3" name="MediaServiceImageTags">
    <vt:lpwstr/>
  </property>
</Properties>
</file>